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C59FE">
      <w:pPr>
        <w:rPr>
          <w:rFonts w:hint="default"/>
          <w:color w:val="002060"/>
          <w:sz w:val="13"/>
          <w:szCs w:val="13"/>
          <w:highlight w:val="magenta"/>
          <w:shd w:val="clear" w:color="auto" w:fill="auto"/>
          <w:lang w:val="en-US"/>
        </w:rPr>
      </w:pPr>
      <w:r>
        <w:rPr>
          <w:rFonts w:hint="default"/>
          <w:color w:val="002060"/>
          <w:highlight w:val="magenta"/>
          <w:shd w:val="clear" w:color="FFFFFF" w:fill="D9D9D9"/>
          <w:lang w:val="en-US"/>
        </w:rPr>
        <w:t>British Sea line</w:t>
      </w:r>
      <w:r>
        <w:rPr>
          <w:rFonts w:hint="default"/>
          <w:color w:val="002060"/>
          <w:highlight w:val="magenta"/>
          <w:shd w:val="clear" w:color="auto" w:fill="auto"/>
          <w:lang w:val="en-US"/>
        </w:rPr>
        <w:t xml:space="preserve">               </w:t>
      </w:r>
      <w:r>
        <w:rPr>
          <w:rFonts w:hint="default"/>
          <w:color w:val="002060"/>
          <w:highlight w:val="magenta"/>
          <w:shd w:val="clear" w:color="auto" w:fill="auto"/>
          <w:lang w:val="en-US"/>
        </w:rPr>
        <w:t xml:space="preserve"> </w:t>
      </w:r>
      <w:r>
        <w:rPr>
          <w:rFonts w:hint="default"/>
          <w:color w:val="002060"/>
          <w:sz w:val="13"/>
          <w:szCs w:val="13"/>
          <w:highlight w:val="magenta"/>
          <w:shd w:val="clear" w:color="auto" w:fill="auto"/>
          <w:lang w:val="en-US"/>
        </w:rPr>
        <w:t>contact: whatsApp/call</w:t>
      </w:r>
    </w:p>
    <w:p w14:paraId="123AF172">
      <w:pPr>
        <w:ind w:firstLine="3575" w:firstLineChars="2750"/>
        <w:rPr>
          <w:rFonts w:hint="default"/>
          <w:color w:val="002060"/>
          <w:sz w:val="13"/>
          <w:szCs w:val="13"/>
          <w:highlight w:val="magenta"/>
          <w:shd w:val="clear" w:color="auto" w:fill="auto"/>
          <w:lang w:val="en-US"/>
        </w:rPr>
      </w:pPr>
      <w:r>
        <w:rPr>
          <w:rFonts w:hint="default"/>
          <w:color w:val="002060"/>
          <w:sz w:val="13"/>
          <w:szCs w:val="13"/>
          <w:highlight w:val="magenta"/>
          <w:shd w:val="clear" w:color="auto" w:fill="auto"/>
          <w:lang w:val="en-US"/>
        </w:rPr>
        <w:t>China/HK:+861314535294</w:t>
      </w:r>
    </w:p>
    <w:p w14:paraId="5BE5BE5E">
      <w:pPr>
        <w:ind w:firstLine="3575" w:firstLineChars="2750"/>
        <w:rPr>
          <w:rFonts w:hint="default"/>
          <w:color w:val="002060"/>
          <w:sz w:val="13"/>
          <w:szCs w:val="13"/>
          <w:highlight w:val="magenta"/>
          <w:shd w:val="clear" w:color="auto" w:fill="auto"/>
          <w:lang w:val="en-US"/>
        </w:rPr>
      </w:pPr>
      <w:r>
        <w:rPr>
          <w:rFonts w:hint="default"/>
          <w:color w:val="002060"/>
          <w:sz w:val="13"/>
          <w:szCs w:val="13"/>
          <w:highlight w:val="magenta"/>
          <w:shd w:val="clear" w:color="auto" w:fill="auto"/>
          <w:lang w:val="en-US"/>
        </w:rPr>
        <w:t>Canada/USA:+16049775294/+17786861983</w:t>
      </w:r>
    </w:p>
    <w:p w14:paraId="760F1ADA">
      <w:pPr>
        <w:ind w:firstLine="3575" w:firstLineChars="2750"/>
        <w:rPr>
          <w:rFonts w:hint="default"/>
          <w:color w:val="002060"/>
          <w:sz w:val="13"/>
          <w:szCs w:val="13"/>
          <w:highlight w:val="magenta"/>
          <w:shd w:val="clear" w:color="auto" w:fill="auto"/>
          <w:lang w:val="en-US"/>
        </w:rPr>
      </w:pPr>
      <w:r>
        <w:rPr>
          <w:rFonts w:hint="default"/>
          <w:color w:val="002060"/>
          <w:sz w:val="13"/>
          <w:szCs w:val="13"/>
          <w:highlight w:val="magenta"/>
          <w:shd w:val="clear" w:color="auto" w:fill="auto"/>
          <w:lang w:val="en-US"/>
        </w:rPr>
        <w:t>Ghana main office: +233206999567</w:t>
      </w:r>
    </w:p>
    <w:p w14:paraId="00ABDFE0">
      <w:pPr>
        <w:rPr>
          <w:rFonts w:hint="eastAsia"/>
          <w:color w:val="002060"/>
          <w:highlight w:val="magenta"/>
        </w:rPr>
      </w:pPr>
    </w:p>
    <w:p w14:paraId="1908BAF9">
      <w:pPr>
        <w:rPr>
          <w:rFonts w:hint="eastAsia"/>
          <w:color w:val="002060"/>
          <w:sz w:val="18"/>
          <w:szCs w:val="18"/>
          <w:highlight w:val="magenta"/>
        </w:rPr>
      </w:pPr>
      <w:r>
        <w:rPr>
          <w:rFonts w:hint="eastAsia"/>
          <w:color w:val="002060"/>
          <w:sz w:val="18"/>
          <w:szCs w:val="18"/>
          <w:highlight w:val="magenta"/>
        </w:rPr>
        <w:t>**God’s Own Procurement &amp; Logistics Agency**</w:t>
      </w:r>
    </w:p>
    <w:p w14:paraId="6A10C6D1">
      <w:pPr>
        <w:rPr>
          <w:rFonts w:hint="eastAsia"/>
          <w:color w:val="002060"/>
          <w:sz w:val="18"/>
          <w:szCs w:val="18"/>
          <w:highlight w:val="magenta"/>
        </w:rPr>
      </w:pPr>
      <w:r>
        <w:rPr>
          <w:rFonts w:hint="eastAsia"/>
          <w:color w:val="002060"/>
          <w:sz w:val="18"/>
          <w:szCs w:val="18"/>
          <w:highlight w:val="magenta"/>
        </w:rPr>
        <w:t>**Express Shipping from China and Hong Kong to Ghana, Canada, USA, UK, and beyond (By Air and Sea Cargo)**</w:t>
      </w:r>
      <w:bookmarkStart w:id="0" w:name="_GoBack"/>
      <w:bookmarkEnd w:id="0"/>
    </w:p>
    <w:p w14:paraId="48F4E17F">
      <w:pPr>
        <w:rPr>
          <w:rFonts w:hint="eastAsia"/>
          <w:color w:val="002060"/>
          <w:sz w:val="18"/>
          <w:szCs w:val="18"/>
          <w:highlight w:val="magenta"/>
        </w:rPr>
      </w:pPr>
      <w:r>
        <w:rPr>
          <w:rFonts w:hint="eastAsia"/>
          <w:color w:val="002060"/>
          <w:sz w:val="18"/>
          <w:szCs w:val="18"/>
          <w:highlight w:val="magenta"/>
        </w:rPr>
        <w:t>- **Find the Right Supplier for All Types of Goods**</w:t>
      </w:r>
    </w:p>
    <w:p w14:paraId="11F6F650">
      <w:pPr>
        <w:rPr>
          <w:rFonts w:hint="eastAsia"/>
          <w:color w:val="002060"/>
          <w:sz w:val="18"/>
          <w:szCs w:val="18"/>
          <w:highlight w:val="magenta"/>
        </w:rPr>
      </w:pPr>
      <w:r>
        <w:rPr>
          <w:rFonts w:hint="eastAsia"/>
          <w:color w:val="002060"/>
          <w:sz w:val="18"/>
          <w:szCs w:val="18"/>
          <w:highlight w:val="magenta"/>
        </w:rPr>
        <w:t>- **Purchase Goods and Arrange Shipping from Hong Kong and China **</w:t>
      </w:r>
    </w:p>
    <w:p w14:paraId="5B6C291B">
      <w:pPr>
        <w:rPr>
          <w:rFonts w:hint="eastAsia"/>
          <w:color w:val="002060"/>
          <w:sz w:val="18"/>
          <w:szCs w:val="18"/>
          <w:highlight w:val="magenta"/>
        </w:rPr>
      </w:pPr>
      <w:r>
        <w:rPr>
          <w:rFonts w:hint="eastAsia"/>
          <w:color w:val="002060"/>
          <w:sz w:val="18"/>
          <w:szCs w:val="18"/>
          <w:highlight w:val="magenta"/>
        </w:rPr>
        <w:t>- **Make Payments for Goods Purchased in Hong Kong and China**</w:t>
      </w:r>
    </w:p>
    <w:p w14:paraId="04883CCB">
      <w:pPr>
        <w:rPr>
          <w:rFonts w:hint="eastAsia"/>
          <w:color w:val="002060"/>
          <w:sz w:val="18"/>
          <w:szCs w:val="18"/>
          <w:highlight w:val="magenta"/>
        </w:rPr>
      </w:pPr>
      <w:r>
        <w:rPr>
          <w:rFonts w:hint="eastAsia"/>
          <w:color w:val="002060"/>
          <w:sz w:val="18"/>
          <w:szCs w:val="18"/>
          <w:highlight w:val="magenta"/>
        </w:rPr>
        <w:t>- **Consulting and Inquiries About Goods and Services in China and Hong Kong**</w:t>
      </w:r>
    </w:p>
    <w:p w14:paraId="7DE0642D">
      <w:pPr>
        <w:rPr>
          <w:rFonts w:hint="eastAsia"/>
          <w:color w:val="auto"/>
          <w:highlight w:val="none"/>
        </w:rPr>
      </w:pPr>
      <w:r>
        <w:rPr>
          <w:rFonts w:hint="eastAsia"/>
          <w:color w:val="002060"/>
          <w:sz w:val="18"/>
          <w:szCs w:val="18"/>
          <w:highlight w:val="magenta"/>
        </w:rPr>
        <w:t>We help you buy or connect you with reputable manufacturers, cross-examine products, and ensure they are shipped directly to your doorstep.</w:t>
      </w:r>
    </w:p>
    <w:p w14:paraId="548FA2DD">
      <w:pPr>
        <w:rPr>
          <w:rFonts w:hint="eastAsia"/>
          <w:color w:val="auto"/>
          <w:highlight w:val="none"/>
        </w:rPr>
      </w:pPr>
    </w:p>
    <w:p w14:paraId="6C2E4A6C">
      <w:pPr>
        <w:ind w:firstLine="960" w:firstLineChars="600"/>
        <w:rPr>
          <w:rFonts w:hint="default"/>
          <w:color w:val="002060"/>
          <w:sz w:val="16"/>
          <w:szCs w:val="16"/>
          <w:highlight w:val="lightGray"/>
          <w:lang w:val="en-US"/>
        </w:rPr>
      </w:pPr>
      <w:r>
        <w:rPr>
          <w:rFonts w:hint="default"/>
          <w:color w:val="auto"/>
          <w:sz w:val="16"/>
          <w:szCs w:val="16"/>
          <w:highlight w:val="lightGray"/>
          <w:lang w:val="en-US"/>
        </w:rPr>
        <w:t>Full-</w:t>
      </w:r>
      <w:r>
        <w:rPr>
          <w:rFonts w:hint="default"/>
          <w:color w:val="002060"/>
          <w:sz w:val="16"/>
          <w:szCs w:val="16"/>
          <w:highlight w:val="none"/>
          <w:lang w:val="en-US"/>
        </w:rPr>
        <w:t>Territory double clearance and tax-inclusive delivery to your door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636"/>
        <w:gridCol w:w="1264"/>
        <w:gridCol w:w="5"/>
        <w:gridCol w:w="1890"/>
        <w:gridCol w:w="23"/>
        <w:gridCol w:w="1979"/>
      </w:tblGrid>
      <w:tr w14:paraId="75E4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1725" w:type="dxa"/>
            <w:vMerge w:val="restart"/>
          </w:tcPr>
          <w:p w14:paraId="46F68185">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Country</w:t>
            </w:r>
          </w:p>
        </w:tc>
        <w:tc>
          <w:tcPr>
            <w:tcW w:w="1636" w:type="dxa"/>
          </w:tcPr>
          <w:p w14:paraId="3DAE54ED">
            <w:pPr>
              <w:rPr>
                <w:rFonts w:hint="default"/>
                <w:color w:val="FF0000"/>
                <w:sz w:val="16"/>
                <w:szCs w:val="16"/>
                <w:highlight w:val="lightGray"/>
                <w:vertAlign w:val="baseline"/>
                <w:lang w:val="en-US"/>
              </w:rPr>
            </w:pPr>
            <w:r>
              <w:rPr>
                <w:rFonts w:hint="default"/>
                <w:color w:val="FF0000"/>
                <w:sz w:val="15"/>
                <w:szCs w:val="15"/>
                <w:highlight w:val="lightGray"/>
                <w:vertAlign w:val="baseline"/>
                <w:lang w:val="en-US"/>
              </w:rPr>
              <w:t>WEIGHT SEGMENT</w:t>
            </w:r>
          </w:p>
        </w:tc>
        <w:tc>
          <w:tcPr>
            <w:tcW w:w="1264" w:type="dxa"/>
          </w:tcPr>
          <w:p w14:paraId="78FC7416">
            <w:pPr>
              <w:rPr>
                <w:rFonts w:hint="default"/>
                <w:color w:val="FF0000"/>
                <w:sz w:val="16"/>
                <w:szCs w:val="16"/>
                <w:highlight w:val="lightGray"/>
                <w:vertAlign w:val="baseline"/>
                <w:lang w:val="en-US"/>
              </w:rPr>
            </w:pPr>
            <w:r>
              <w:rPr>
                <w:rFonts w:hint="default"/>
                <w:color w:val="FF0000"/>
                <w:sz w:val="11"/>
                <w:szCs w:val="11"/>
                <w:highlight w:val="lightGray"/>
                <w:vertAlign w:val="baseline"/>
                <w:lang w:val="en-US"/>
              </w:rPr>
              <w:t>UNIT PRICE</w:t>
            </w:r>
            <w:r>
              <w:rPr>
                <w:rFonts w:hint="default"/>
                <w:color w:val="FF0000"/>
                <w:sz w:val="16"/>
                <w:szCs w:val="16"/>
                <w:highlight w:val="lightGray"/>
                <w:vertAlign w:val="baseline"/>
                <w:lang w:val="en-US"/>
              </w:rPr>
              <w:t xml:space="preserve"> General goods</w:t>
            </w:r>
          </w:p>
        </w:tc>
        <w:tc>
          <w:tcPr>
            <w:tcW w:w="1895" w:type="dxa"/>
            <w:gridSpan w:val="2"/>
          </w:tcPr>
          <w:p w14:paraId="0D06BC3C">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SENSITIVE GOODS</w:t>
            </w:r>
          </w:p>
        </w:tc>
        <w:tc>
          <w:tcPr>
            <w:tcW w:w="2002" w:type="dxa"/>
            <w:gridSpan w:val="2"/>
          </w:tcPr>
          <w:p w14:paraId="27FDE23D">
            <w:pPr>
              <w:rPr>
                <w:rFonts w:hint="default"/>
                <w:color w:val="FF0000"/>
                <w:sz w:val="16"/>
                <w:szCs w:val="16"/>
                <w:highlight w:val="lightGray"/>
                <w:vertAlign w:val="baseline"/>
                <w:lang w:val="en-US"/>
              </w:rPr>
            </w:pPr>
            <w:r>
              <w:rPr>
                <w:rFonts w:hint="default"/>
                <w:color w:val="FF0000"/>
                <w:sz w:val="11"/>
                <w:szCs w:val="11"/>
                <w:highlight w:val="lightGray"/>
                <w:vertAlign w:val="baseline"/>
                <w:lang w:val="en-US"/>
              </w:rPr>
              <w:t>INCLUDING CUSTOM CLEARANCE</w:t>
            </w:r>
          </w:p>
        </w:tc>
      </w:tr>
      <w:tr w14:paraId="4EF1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1725" w:type="dxa"/>
            <w:vMerge w:val="continue"/>
          </w:tcPr>
          <w:p w14:paraId="33FBCE3F">
            <w:pPr>
              <w:rPr>
                <w:rFonts w:hint="default"/>
                <w:color w:val="auto"/>
                <w:sz w:val="16"/>
                <w:szCs w:val="16"/>
                <w:highlight w:val="lightGray"/>
                <w:vertAlign w:val="baseline"/>
                <w:lang w:val="en-US"/>
              </w:rPr>
            </w:pPr>
          </w:p>
        </w:tc>
        <w:tc>
          <w:tcPr>
            <w:tcW w:w="1636" w:type="dxa"/>
          </w:tcPr>
          <w:p w14:paraId="0210ACE2">
            <w:pPr>
              <w:rPr>
                <w:rFonts w:hint="default"/>
                <w:color w:val="FF0000"/>
                <w:sz w:val="15"/>
                <w:szCs w:val="15"/>
                <w:highlight w:val="lightGray"/>
                <w:vertAlign w:val="baseline"/>
                <w:lang w:val="en-US"/>
              </w:rPr>
            </w:pPr>
            <w:r>
              <w:rPr>
                <w:rFonts w:hint="default"/>
                <w:color w:val="FF0000"/>
                <w:sz w:val="15"/>
                <w:szCs w:val="15"/>
                <w:highlight w:val="lightGray"/>
                <w:vertAlign w:val="baseline"/>
                <w:lang w:val="en-US"/>
              </w:rPr>
              <w:t>12-20kg</w:t>
            </w:r>
          </w:p>
        </w:tc>
        <w:tc>
          <w:tcPr>
            <w:tcW w:w="1264" w:type="dxa"/>
          </w:tcPr>
          <w:p w14:paraId="4B6438FC">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$13.5/kg</w:t>
            </w:r>
          </w:p>
        </w:tc>
        <w:tc>
          <w:tcPr>
            <w:tcW w:w="1895" w:type="dxa"/>
            <w:gridSpan w:val="2"/>
          </w:tcPr>
          <w:p w14:paraId="0F645927">
            <w:pPr>
              <w:ind w:firstLine="400" w:firstLineChars="250"/>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$15/kg</w:t>
            </w:r>
          </w:p>
        </w:tc>
        <w:tc>
          <w:tcPr>
            <w:tcW w:w="2002" w:type="dxa"/>
            <w:gridSpan w:val="2"/>
          </w:tcPr>
          <w:p w14:paraId="09E0D098">
            <w:pPr>
              <w:rPr>
                <w:rFonts w:hint="default"/>
                <w:color w:val="FF0000"/>
                <w:sz w:val="16"/>
                <w:szCs w:val="16"/>
                <w:highlight w:val="lightGray"/>
                <w:vertAlign w:val="baseline"/>
                <w:lang w:val="en-US"/>
              </w:rPr>
            </w:pPr>
          </w:p>
        </w:tc>
      </w:tr>
      <w:tr w14:paraId="37A8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tcPr>
          <w:p w14:paraId="66C4DFA4">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U.K</w:t>
            </w:r>
          </w:p>
        </w:tc>
        <w:tc>
          <w:tcPr>
            <w:tcW w:w="1636" w:type="dxa"/>
          </w:tcPr>
          <w:p w14:paraId="69DDFF8C">
            <w:pPr>
              <w:ind w:firstLine="80" w:firstLineChars="50"/>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21-30kg</w:t>
            </w:r>
          </w:p>
        </w:tc>
        <w:tc>
          <w:tcPr>
            <w:tcW w:w="1264" w:type="dxa"/>
          </w:tcPr>
          <w:p w14:paraId="3383FC65">
            <w:pPr>
              <w:ind w:firstLine="80" w:firstLineChars="50"/>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$13/kg</w:t>
            </w:r>
          </w:p>
        </w:tc>
        <w:tc>
          <w:tcPr>
            <w:tcW w:w="1895" w:type="dxa"/>
            <w:gridSpan w:val="2"/>
          </w:tcPr>
          <w:p w14:paraId="436D3664">
            <w:pPr>
              <w:ind w:firstLine="400" w:firstLineChars="250"/>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$14.5/kg</w:t>
            </w:r>
          </w:p>
        </w:tc>
        <w:tc>
          <w:tcPr>
            <w:tcW w:w="2002" w:type="dxa"/>
            <w:gridSpan w:val="2"/>
          </w:tcPr>
          <w:p w14:paraId="4A525F13">
            <w:pPr>
              <w:rPr>
                <w:rFonts w:hint="default"/>
                <w:color w:val="auto"/>
                <w:sz w:val="16"/>
                <w:szCs w:val="16"/>
                <w:highlight w:val="lightGray"/>
                <w:vertAlign w:val="baseline"/>
                <w:lang w:val="en-US"/>
              </w:rPr>
            </w:pPr>
          </w:p>
        </w:tc>
      </w:tr>
      <w:tr w14:paraId="21FC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tcPr>
          <w:p w14:paraId="539BD418">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U.K</w:t>
            </w:r>
          </w:p>
        </w:tc>
        <w:tc>
          <w:tcPr>
            <w:tcW w:w="1636" w:type="dxa"/>
          </w:tcPr>
          <w:p w14:paraId="77BC4F07">
            <w:pPr>
              <w:ind w:firstLine="80" w:firstLineChars="50"/>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31-70kg</w:t>
            </w:r>
          </w:p>
        </w:tc>
        <w:tc>
          <w:tcPr>
            <w:tcW w:w="1264" w:type="dxa"/>
          </w:tcPr>
          <w:p w14:paraId="71FCA37E">
            <w:pPr>
              <w:ind w:firstLine="80" w:firstLineChars="50"/>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$12.5/kg</w:t>
            </w:r>
          </w:p>
        </w:tc>
        <w:tc>
          <w:tcPr>
            <w:tcW w:w="1895" w:type="dxa"/>
            <w:gridSpan w:val="2"/>
          </w:tcPr>
          <w:p w14:paraId="2A11EEE2">
            <w:pPr>
              <w:ind w:firstLine="400" w:firstLineChars="250"/>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$14/kg</w:t>
            </w:r>
          </w:p>
        </w:tc>
        <w:tc>
          <w:tcPr>
            <w:tcW w:w="2002" w:type="dxa"/>
            <w:gridSpan w:val="2"/>
          </w:tcPr>
          <w:p w14:paraId="208EAE8E">
            <w:pPr>
              <w:rPr>
                <w:rFonts w:hint="default"/>
                <w:color w:val="auto"/>
                <w:sz w:val="16"/>
                <w:szCs w:val="16"/>
                <w:highlight w:val="lightGray"/>
                <w:vertAlign w:val="baseline"/>
                <w:lang w:val="en-US"/>
              </w:rPr>
            </w:pPr>
          </w:p>
        </w:tc>
      </w:tr>
      <w:tr w14:paraId="1B82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tcPr>
          <w:p w14:paraId="11D8C53B">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U.K</w:t>
            </w:r>
          </w:p>
        </w:tc>
        <w:tc>
          <w:tcPr>
            <w:tcW w:w="1636" w:type="dxa"/>
          </w:tcPr>
          <w:p w14:paraId="2EB5BCF5">
            <w:pPr>
              <w:ind w:firstLine="80" w:firstLineChars="50"/>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71-99kg</w:t>
            </w:r>
          </w:p>
        </w:tc>
        <w:tc>
          <w:tcPr>
            <w:tcW w:w="1269" w:type="dxa"/>
            <w:gridSpan w:val="2"/>
          </w:tcPr>
          <w:p w14:paraId="0783A90D">
            <w:pPr>
              <w:ind w:firstLine="80" w:firstLineChars="50"/>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$12.5/kg</w:t>
            </w:r>
          </w:p>
        </w:tc>
        <w:tc>
          <w:tcPr>
            <w:tcW w:w="1913" w:type="dxa"/>
            <w:gridSpan w:val="2"/>
          </w:tcPr>
          <w:p w14:paraId="1D1DE128">
            <w:pPr>
              <w:ind w:firstLine="400" w:firstLineChars="250"/>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$13/kg</w:t>
            </w:r>
          </w:p>
        </w:tc>
        <w:tc>
          <w:tcPr>
            <w:tcW w:w="1979" w:type="dxa"/>
          </w:tcPr>
          <w:p w14:paraId="36EC9E1A">
            <w:pPr>
              <w:rPr>
                <w:rFonts w:hint="default"/>
                <w:color w:val="auto"/>
                <w:sz w:val="16"/>
                <w:szCs w:val="16"/>
                <w:highlight w:val="lightGray"/>
                <w:vertAlign w:val="baseline"/>
                <w:lang w:val="en-US"/>
              </w:rPr>
            </w:pPr>
          </w:p>
        </w:tc>
      </w:tr>
      <w:tr w14:paraId="369C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7"/>
          </w:tcPr>
          <w:p w14:paraId="090062B8">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1. Customs clearance mode: including customs clearance and tariffs, delivered to your door, reference time is 35-45 days from the departure of the ship, UPS pick up and online delivery</w:t>
            </w:r>
          </w:p>
          <w:p w14:paraId="48E93AB2">
            <w:pPr>
              <w:rPr>
                <w:rFonts w:hint="default"/>
                <w:color w:val="FF0000"/>
                <w:sz w:val="16"/>
                <w:szCs w:val="16"/>
                <w:highlight w:val="lightGray"/>
                <w:vertAlign w:val="baseline"/>
                <w:lang w:val="en-US"/>
              </w:rPr>
            </w:pPr>
          </w:p>
          <w:p w14:paraId="43DAF177">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2. Billing method: The freight is calculated based on the larger volumetric weight and actual weight (volume weight = length cm*width cm*height cm÷6000). If a piece is less than 12kg, it will be charged as 12kg.</w:t>
            </w:r>
          </w:p>
          <w:p w14:paraId="41ABF1F4">
            <w:pPr>
              <w:rPr>
                <w:rFonts w:hint="default"/>
                <w:color w:val="FF0000"/>
                <w:sz w:val="16"/>
                <w:szCs w:val="16"/>
                <w:highlight w:val="lightGray"/>
                <w:vertAlign w:val="baseline"/>
                <w:lang w:val="en-US"/>
              </w:rPr>
            </w:pPr>
          </w:p>
          <w:p w14:paraId="7F050AD2">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3. Packaging: must be packed in cartons, yellow tape and black tape packaging are not accepted. If the actual weight of the whole bill is less than 12KG, it must be packed in one piece per bill. The actual weight of a single piece cannot exceed 30KG.</w:t>
            </w:r>
          </w:p>
          <w:p w14:paraId="660EFB1A">
            <w:pPr>
              <w:rPr>
                <w:rFonts w:hint="default"/>
                <w:color w:val="FF0000"/>
                <w:sz w:val="16"/>
                <w:szCs w:val="16"/>
                <w:highlight w:val="lightGray"/>
                <w:vertAlign w:val="baseline"/>
                <w:lang w:val="en-US"/>
              </w:rPr>
            </w:pPr>
          </w:p>
          <w:p w14:paraId="12231986">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Box specification requirements: (the following three items are calculated by superposition):</w:t>
            </w:r>
          </w:p>
          <w:p w14:paraId="52E3FE40">
            <w:pPr>
              <w:rPr>
                <w:rFonts w:hint="default"/>
                <w:color w:val="FF0000"/>
                <w:sz w:val="16"/>
                <w:szCs w:val="16"/>
                <w:highlight w:val="lightGray"/>
                <w:vertAlign w:val="baseline"/>
                <w:lang w:val="en-US"/>
              </w:rPr>
            </w:pPr>
          </w:p>
          <w:p w14:paraId="1986EC3E">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The longest side shall not exceed 99CM, the second longest side shall not exceed 75CM, and the perimeter shall not exceed 300CM. If any of the above items is exceeded, an additional delivery fee shall be added as follows:</w:t>
            </w:r>
          </w:p>
          <w:p w14:paraId="1A86DBCE">
            <w:pPr>
              <w:rPr>
                <w:rFonts w:hint="default"/>
                <w:color w:val="FF0000"/>
                <w:sz w:val="16"/>
                <w:szCs w:val="16"/>
                <w:highlight w:val="lightGray"/>
                <w:vertAlign w:val="baseline"/>
                <w:lang w:val="en-US"/>
              </w:rPr>
            </w:pPr>
          </w:p>
          <w:p w14:paraId="6A916EB6">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A: If the longest side exceeds 99cm or the second longest side exceeds 75cm or the actual weight exceeds 30KG, an additional charge of $31 per piece will be imposed. (Calculated in combination)</w:t>
            </w:r>
          </w:p>
          <w:p w14:paraId="0971A46D">
            <w:pPr>
              <w:rPr>
                <w:rFonts w:hint="default"/>
                <w:color w:val="FF0000"/>
                <w:sz w:val="16"/>
                <w:szCs w:val="16"/>
                <w:highlight w:val="lightGray"/>
                <w:vertAlign w:val="baseline"/>
                <w:lang w:val="en-US"/>
              </w:rPr>
            </w:pPr>
          </w:p>
          <w:p w14:paraId="5BC1C520">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B: If the perimeter exceeds 300CM, an additional charge of $74/piece will be charged. (Perimeter standard = 1 longest side + 2 high sides + 2 wide sides). (Superposition calculation)</w:t>
            </w:r>
          </w:p>
          <w:p w14:paraId="2FB75C72">
            <w:pPr>
              <w:rPr>
                <w:rFonts w:hint="default"/>
                <w:color w:val="FF0000"/>
                <w:sz w:val="16"/>
                <w:szCs w:val="16"/>
                <w:highlight w:val="lightGray"/>
                <w:vertAlign w:val="baseline"/>
                <w:lang w:val="en-US"/>
              </w:rPr>
            </w:pPr>
          </w:p>
          <w:p w14:paraId="115D3306">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Rejection: Any longest side exceeding 274CM will be rejected! Any perimeter exceeding 400CM will be rejected! Any single box with an actual weight exceeding 69KG will be rejected!</w:t>
            </w:r>
          </w:p>
          <w:p w14:paraId="6831441C">
            <w:pPr>
              <w:rPr>
                <w:rFonts w:hint="default"/>
                <w:color w:val="FF0000"/>
                <w:sz w:val="16"/>
                <w:szCs w:val="16"/>
                <w:highlight w:val="lightGray"/>
                <w:vertAlign w:val="baseline"/>
                <w:lang w:val="en-US"/>
              </w:rPr>
            </w:pPr>
          </w:p>
          <w:p w14:paraId="0C88EAEC">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C: Remote area surcharge: $46/ticket.</w:t>
            </w:r>
          </w:p>
          <w:p w14:paraId="1C6BDFF0">
            <w:pPr>
              <w:rPr>
                <w:rFonts w:hint="default"/>
                <w:color w:val="FF0000"/>
                <w:sz w:val="16"/>
                <w:szCs w:val="16"/>
                <w:highlight w:val="lightGray"/>
                <w:vertAlign w:val="baseline"/>
                <w:lang w:val="en-US"/>
              </w:rPr>
            </w:pPr>
          </w:p>
          <w:p w14:paraId="52F2FECC">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4. Delivery matters: Both commercial and private addresses can be delivered normally, and double clearance and tax included delivery to the door</w:t>
            </w:r>
          </w:p>
          <w:p w14:paraId="57778FA4">
            <w:pPr>
              <w:rPr>
                <w:rFonts w:hint="default"/>
                <w:color w:val="FF0000"/>
                <w:sz w:val="16"/>
                <w:szCs w:val="16"/>
                <w:highlight w:val="lightGray"/>
                <w:vertAlign w:val="baseline"/>
                <w:lang w:val="en-US"/>
              </w:rPr>
            </w:pPr>
          </w:p>
          <w:p w14:paraId="47FB8D0D">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5. General cargo acceptance scope: only transport various general cargoes, books, built-in batteries, accessories, clothes, kitchen utensils, etc.</w:t>
            </w:r>
          </w:p>
          <w:p w14:paraId="185FEC8C">
            <w:pPr>
              <w:rPr>
                <w:rFonts w:hint="default"/>
                <w:color w:val="FF0000"/>
                <w:sz w:val="16"/>
                <w:szCs w:val="16"/>
                <w:highlight w:val="lightGray"/>
                <w:vertAlign w:val="baseline"/>
                <w:lang w:val="en-US"/>
              </w:rPr>
            </w:pPr>
          </w:p>
          <w:p w14:paraId="6A0832EE">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6. Scope of sensitive goods: cosmetics, skin care products, dry food, tea, imitation brands, gel hand sanitizer, wet wipes, masks, tablets, alcohol packs, etc.</w:t>
            </w:r>
          </w:p>
          <w:p w14:paraId="4196890E">
            <w:pPr>
              <w:rPr>
                <w:rFonts w:hint="default"/>
                <w:color w:val="FF0000"/>
                <w:sz w:val="16"/>
                <w:szCs w:val="16"/>
                <w:highlight w:val="lightGray"/>
                <w:vertAlign w:val="baseline"/>
                <w:lang w:val="en-US"/>
              </w:rPr>
            </w:pPr>
          </w:p>
          <w:p w14:paraId="6A66298F">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7. Refuse to transport: large knives, chemical products other than cosmetics and skin care products, gambling tools, pure batteries, meat, powder, pure liquid, electronic cigarettes, etc.</w:t>
            </w:r>
          </w:p>
          <w:p w14:paraId="6563FB3F">
            <w:pPr>
              <w:rPr>
                <w:rFonts w:hint="default"/>
                <w:color w:val="FF0000"/>
                <w:sz w:val="16"/>
                <w:szCs w:val="16"/>
                <w:highlight w:val="lightGray"/>
                <w:vertAlign w:val="baseline"/>
                <w:lang w:val="en-US"/>
              </w:rPr>
            </w:pPr>
          </w:p>
          <w:p w14:paraId="0EDFE892">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8. Others: If you need to mail meat, powder, pure liquid, e-cigarettes, etc., please consult customer service</w:t>
            </w:r>
          </w:p>
          <w:p w14:paraId="46766896">
            <w:pPr>
              <w:rPr>
                <w:rFonts w:hint="default"/>
                <w:color w:val="FF0000"/>
                <w:sz w:val="16"/>
                <w:szCs w:val="16"/>
                <w:highlight w:val="lightGray"/>
                <w:vertAlign w:val="baseline"/>
                <w:lang w:val="en-US"/>
              </w:rPr>
            </w:pPr>
          </w:p>
          <w:p w14:paraId="65215C1A">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9. Sensitive goods have a 1%-3% risk of being detained. Please be aware of this before mailing. In order to reduce the risk of detention, if there are special sensitive goods such as meat products during the packaging process, they will be automatically sub-packaged and mailed separately by default. If you have any questions, please consult customer service</w:t>
            </w:r>
          </w:p>
          <w:p w14:paraId="3A55B5A5">
            <w:pPr>
              <w:rPr>
                <w:rFonts w:hint="default"/>
                <w:color w:val="FF0000"/>
                <w:sz w:val="16"/>
                <w:szCs w:val="16"/>
                <w:highlight w:val="lightGray"/>
                <w:vertAlign w:val="baseline"/>
                <w:lang w:val="en-US"/>
              </w:rPr>
            </w:pPr>
          </w:p>
          <w:p w14:paraId="0EDF78E6">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10. Compensation standard: If the goods are lost before delivery, the original value of the goods will be compensated; if the goods are lost, not picked up online, or detained at customs, $5/kg will be compensated (no refund of shipping fee); the maximum compensation is 100 USD; if the goods are lost, not picked up online, or detained at customs, no compensation will be paid</w:t>
            </w:r>
          </w:p>
        </w:tc>
      </w:tr>
    </w:tbl>
    <w:p w14:paraId="11166E0B">
      <w:pPr>
        <w:rPr>
          <w:rFonts w:hint="default"/>
          <w:color w:val="FF0000"/>
          <w:sz w:val="16"/>
          <w:szCs w:val="16"/>
          <w:highlight w:val="lightGray"/>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DA688">
    <w:pPr>
      <w:pStyle w:val="5"/>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-1134110</wp:posOffset>
          </wp:positionH>
          <wp:positionV relativeFrom="paragraph">
            <wp:posOffset>-542925</wp:posOffset>
          </wp:positionV>
          <wp:extent cx="7549515" cy="10678795"/>
          <wp:effectExtent l="0" t="0" r="13335" b="8255"/>
          <wp:wrapNone/>
          <wp:docPr id="1" name="稻壳网 阿源设计 高清可打印" descr="G:\上传盘\_稻壳认证\1-信纸\0302-猫咪-鲜花-风景\小清新\6~10\10.jp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稻壳网 阿源设计 高清可打印" descr="G:\上传盘\_稻壳认证\1-信纸\0302-猫咪-鲜花-风景\小清新\6~10\10.jpg10"/>
                  <pic:cNvPicPr>
                    <a:picLocks noChangeAspect="1"/>
                  </pic:cNvPicPr>
                </pic:nvPicPr>
                <pic:blipFill>
                  <a:blip r:embed="rId1"/>
                  <a:srcRect/>
                  <a:stretch>
                    <a:fillRect/>
                  </a:stretch>
                </pic:blipFill>
                <pic:spPr>
                  <a:xfrm>
                    <a:off x="0" y="0"/>
                    <a:ext cx="7549515" cy="106787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DF4303"/>
    <w:rsid w:val="012A73C0"/>
    <w:rsid w:val="0172395A"/>
    <w:rsid w:val="071B7067"/>
    <w:rsid w:val="08743BDB"/>
    <w:rsid w:val="090C5AA2"/>
    <w:rsid w:val="095F7435"/>
    <w:rsid w:val="0E93074B"/>
    <w:rsid w:val="10146E6F"/>
    <w:rsid w:val="10F66DB8"/>
    <w:rsid w:val="11283508"/>
    <w:rsid w:val="122C3818"/>
    <w:rsid w:val="138E4B9F"/>
    <w:rsid w:val="152414D2"/>
    <w:rsid w:val="17B479D2"/>
    <w:rsid w:val="1AC967C2"/>
    <w:rsid w:val="1C20429E"/>
    <w:rsid w:val="1F7E2E6E"/>
    <w:rsid w:val="2139021C"/>
    <w:rsid w:val="234A6292"/>
    <w:rsid w:val="271D602F"/>
    <w:rsid w:val="28186406"/>
    <w:rsid w:val="29DA11DE"/>
    <w:rsid w:val="2C861E48"/>
    <w:rsid w:val="2F3C2A1B"/>
    <w:rsid w:val="2FFF4CAD"/>
    <w:rsid w:val="32772C11"/>
    <w:rsid w:val="3369463B"/>
    <w:rsid w:val="39BE6D95"/>
    <w:rsid w:val="3ECF3A15"/>
    <w:rsid w:val="479C274B"/>
    <w:rsid w:val="49A6268A"/>
    <w:rsid w:val="516236F1"/>
    <w:rsid w:val="547711B5"/>
    <w:rsid w:val="5B5D6714"/>
    <w:rsid w:val="5EF0088D"/>
    <w:rsid w:val="600B78B8"/>
    <w:rsid w:val="65A12C93"/>
    <w:rsid w:val="662B72CB"/>
    <w:rsid w:val="670F05FA"/>
    <w:rsid w:val="6C5A7566"/>
    <w:rsid w:val="70335112"/>
    <w:rsid w:val="724172CE"/>
    <w:rsid w:val="75004917"/>
    <w:rsid w:val="751858F8"/>
    <w:rsid w:val="766D719A"/>
    <w:rsid w:val="79415B2C"/>
    <w:rsid w:val="7D7A7C92"/>
    <w:rsid w:val="7FFFB673"/>
    <w:rsid w:val="9DDF4303"/>
    <w:rsid w:val="A7EF84BD"/>
    <w:rsid w:val="BFFEB44E"/>
    <w:rsid w:val="FFD44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davidgodswill/Library/Containers/com.kingsoft.wpsoffice.mac.global/Data/.kingsoft/office6/templates/download/Theme%20Flower/Fresh%20Pink%20Flower%20Letter.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Fresh Pink Flower Letter.docx</Template>
  <Manager>阿源设计</Manager>
  <Pages>2</Pages>
  <Words>12</Words>
  <Characters>54</Characters>
  <Lines>0</Lines>
  <Paragraphs>0</Paragraphs>
  <TotalTime>113</TotalTime>
  <ScaleCrop>false</ScaleCrop>
  <LinksUpToDate>false</LinksUpToDate>
  <CharactersWithSpaces>63</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2025-01-26T00:28:00Z</dcterms:created>
  <dc:creator>Angel 1 G</dc:creator>
  <dc:description>更多高清设计请访问稻壳网(www.docer.com)搜索“阿源设计” ，谢谢亲的支持，么么哒~</dc:description>
  <cp:lastModifiedBy>davidgodswill</cp:lastModifiedBy>
  <dcterms:modified xsi:type="dcterms:W3CDTF">2025-01-28T18:06:38Z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306F156C8A78F70F2E8D9967D1B4F17A_43</vt:lpwstr>
  </property>
</Properties>
</file>